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C7E4F" w14:textId="27F02CED" w:rsidR="00716CA2" w:rsidRDefault="00000000">
      <w:pPr>
        <w:jc w:val="both"/>
      </w:pPr>
      <w:r>
        <w:rPr>
          <w:b/>
          <w:bCs/>
        </w:rPr>
        <w:t>ATA DA VIGÉSIMA SESSÃO ORDINÁRIA DO SISTEMA DE CONTROLE INTERNO DA UNIVERSIDADE ESTADUAL DE CAMPINAS</w:t>
      </w:r>
      <w:r>
        <w:t xml:space="preserve">. Aos seis dias do mês de novembro do ano de dois mil e vinte e cinco, às </w:t>
      </w:r>
      <w:r w:rsidR="00523A6A">
        <w:t>0</w:t>
      </w:r>
      <w:r>
        <w:t xml:space="preserve">9 horas, reuniu-se na sala de reuniões CGU 2, o Sistema de Controle Interno da Universidade Estadual de Campinas. Na ausência do Coordenador Geral da Universidade, Fernando </w:t>
      </w:r>
      <w:proofErr w:type="spellStart"/>
      <w:r>
        <w:t>Antonio</w:t>
      </w:r>
      <w:proofErr w:type="spellEnd"/>
      <w:r>
        <w:t xml:space="preserve"> Santos Coelho, que se encontrava em viagem internacional, a sessão foi presidida pelo </w:t>
      </w:r>
      <w:r w:rsidRPr="00523A6A">
        <w:rPr>
          <w:b/>
          <w:bCs/>
        </w:rPr>
        <w:t>Fernando Sarti</w:t>
      </w:r>
      <w:r>
        <w:t>, na condição de Pró-</w:t>
      </w:r>
      <w:r w:rsidR="00523A6A">
        <w:t>r</w:t>
      </w:r>
      <w:r>
        <w:t xml:space="preserve">eitor de Desenvolvimento Universitário, nos termos do </w:t>
      </w:r>
      <w:r w:rsidR="00523A6A">
        <w:t>§</w:t>
      </w:r>
      <w:r>
        <w:t xml:space="preserve"> 3º, do Artigo 2º da Deliberação CAD-A-011/2023. Compareceram os seguintes membros: Adilton Dorival Leite, </w:t>
      </w:r>
      <w:proofErr w:type="spellStart"/>
      <w:r>
        <w:t>Antonio</w:t>
      </w:r>
      <w:proofErr w:type="spellEnd"/>
      <w:r>
        <w:t xml:space="preserve"> Gonçalves de Oliveira Filho, Carlos Raul </w:t>
      </w:r>
      <w:proofErr w:type="spellStart"/>
      <w:r>
        <w:t>Etulain</w:t>
      </w:r>
      <w:proofErr w:type="spellEnd"/>
      <w:r>
        <w:t xml:space="preserve">, Everaldo Pinheiro, Lívia Ribeiro de Pádua Duarte, Thiago Baldini da Silva e Sérgio Alves dos Santos. Justificaram ausência: Fernando </w:t>
      </w:r>
      <w:proofErr w:type="spellStart"/>
      <w:r>
        <w:t>Antonio</w:t>
      </w:r>
      <w:proofErr w:type="spellEnd"/>
      <w:r>
        <w:t xml:space="preserve"> Santos Coelho, em viagem internacional, Fernanda Lavras Costallat Silvado, Flavio Henrique Baggio Aguiar e Augusto Cesar da Silveira. </w:t>
      </w:r>
      <w:r w:rsidRPr="00523A6A">
        <w:rPr>
          <w:b/>
          <w:bCs/>
        </w:rPr>
        <w:t>O Presidente</w:t>
      </w:r>
      <w:r>
        <w:t xml:space="preserve"> deu início à reunião, submetendo à apreciação a ata da 19ª Sessão Ordinária, realizada no dia vinte e cinco de setembro de dois mil e vinte e cinco. Não havendo manifestações, a ata foi aprovada com uma abstenção. ORDEM DO DIA. </w:t>
      </w:r>
      <w:r w:rsidRPr="00523A6A">
        <w:rPr>
          <w:b/>
          <w:bCs/>
        </w:rPr>
        <w:t>O Senhor Flávio Ferreira</w:t>
      </w:r>
      <w:r>
        <w:t xml:space="preserve"> apresentou O ITEM 1</w:t>
      </w:r>
      <w:r w:rsidR="00523A6A">
        <w:t xml:space="preserve">. </w:t>
      </w:r>
      <w:r>
        <w:t xml:space="preserve">esclarecendo que o relatório foi elaborado pela Contadora Renata Ribeiro Vilas Boas, que integrou a equipe em substituição ao Contador Elton Pereira. Informou que este é o segundo ciclo de monitoramento sobre o tema de adiantamentos. </w:t>
      </w:r>
      <w:r w:rsidRPr="00523A6A">
        <w:rPr>
          <w:b/>
          <w:bCs/>
        </w:rPr>
        <w:t>A Contadora Renata</w:t>
      </w:r>
      <w:r>
        <w:t xml:space="preserve"> apresentou as principais constatações: 1. Despesas com recursos aplicados em pagamentos cuja data de emissão da nota antecede o período da liberação, caracterizando execução anterior à disponibilização do recurso. 2. Não demonstração do cumprimento do requisito de urgência, com justificativas genéricas, insuficientes e inadequadas, conforme já apontado pelo Tribunal de Contas. 3. Processos devolvidos para saneamento de pendências de prestação de contas fora do prazo. 4. Justificativas que não demonstram comprovação de interesse público e inviabilidade da realização por processo formal de contratação. 5. Ausência de evidências quanto ao efetivo controle por parte dos ordenadores de despesa, com identificação de despesas com justificativas inadequadas que deveriam ter sido reprovadas. 6. Ausência de sistema adequado de pessoal na DGA para exercer adequadamente a segunda linha de defesa. As recomendações apresentadas foram: - Revisar o fluxo de comunicação entre a DGA e as unidades/órgãos com relação ao adiantamento; - Orientar as justificativas utilizadas com manifestação expressa de interesse público e inviabilidade do processo formal; - Realizar capacitação contínua, pelo menos a cada troca de responsáveis ou ordenadores; - Implementar controles preventivos com checklists antes de liberar os recursos e validar a data de emissão das notas; - Revisar os procedimentos internos de elaboração e validação da justificativa de adiantamento, com foco na eliminação de modelos genéricos; - Acompanhar sistematicamente as prestações de contas com foco em documentos fiscais emitidos fora do período de aplicação e registro de reincidências; - Fortalecer a DGA/DCI com pessoal e tecnologia necessária para acompanhamento efetivo. </w:t>
      </w:r>
      <w:r w:rsidRPr="00523A6A">
        <w:rPr>
          <w:b/>
          <w:bCs/>
        </w:rPr>
        <w:t>O Sr</w:t>
      </w:r>
      <w:r w:rsidR="00523A6A">
        <w:rPr>
          <w:b/>
          <w:bCs/>
        </w:rPr>
        <w:t>.</w:t>
      </w:r>
      <w:r w:rsidRPr="00523A6A">
        <w:rPr>
          <w:b/>
          <w:bCs/>
        </w:rPr>
        <w:t xml:space="preserve"> Sérgio</w:t>
      </w:r>
      <w:r>
        <w:t xml:space="preserve"> esclareceu que foi realizada recentemente uma modificação da Instrução Normativa da DGA, diferenciando urgência de despesas miúdas (até aproximadamente R$ 3.000,00), disciplinando melhor o uso do adiantamento e introduzindo checklist para o ordenador de despesa verificar os requisitos na prestação de contas. O Senhor Flávio informou adicionalmente que foi apresentado um adendo ao relatório, esclarecendo que duas respostas da DGA vieram em ordem diferente e foram inicialmente consideradas como não respostas, mas posteriormente foram analisadas, não gerando novos pontos ou recomendações. Houve discussão sobre o volume financeiro envolvido, esclarecendo-se que o custo é mais de trabalho e eficiência do que de recurso financeiro, dado o alto número de operações. Não havendo outros destaques, </w:t>
      </w:r>
      <w:r w:rsidRPr="00523A6A">
        <w:rPr>
          <w:b/>
          <w:bCs/>
        </w:rPr>
        <w:t>o Presidente</w:t>
      </w:r>
      <w:r>
        <w:t xml:space="preserve"> submeteu o item à votação. O relatório foi aprovado por unanimidade, sendo encaminhado à DGA para atendimento das </w:t>
      </w:r>
      <w:r>
        <w:lastRenderedPageBreak/>
        <w:t>recomendações e ao Gabinete do Reitor para ciência e acompanhamento. ITEM 2) PLANO DE TRABALHO DE CONTROLE INTERNO 2026</w:t>
      </w:r>
      <w:r w:rsidR="00523A6A">
        <w:t xml:space="preserve">: </w:t>
      </w:r>
      <w:r w:rsidR="00523A6A" w:rsidRPr="00523A6A">
        <w:rPr>
          <w:b/>
          <w:bCs/>
        </w:rPr>
        <w:t>o</w:t>
      </w:r>
      <w:r w:rsidRPr="00523A6A">
        <w:rPr>
          <w:b/>
          <w:bCs/>
        </w:rPr>
        <w:t xml:space="preserve"> S</w:t>
      </w:r>
      <w:r w:rsidR="00523A6A">
        <w:rPr>
          <w:b/>
          <w:bCs/>
        </w:rPr>
        <w:t>r.</w:t>
      </w:r>
      <w:r w:rsidRPr="00523A6A">
        <w:rPr>
          <w:b/>
          <w:bCs/>
        </w:rPr>
        <w:t xml:space="preserve"> Flávio</w:t>
      </w:r>
      <w:r>
        <w:t xml:space="preserve"> apresentou o Plano de Trabalho para 2026, esclarecendo que é uma exigência da Deliberação CONSU-A-08/2019 que criou o Sistema e a Controladoria Geral, devendo ser apresentado ao Conselho Universitário. O plano está estruturado a partir de duas entradas principais: - Apontamentos da Plataforma de Monitoramento de Apontamentos (PMA); - Acompanhamentos ordinários exigidos por norma ou lei. As principais alterações para 2026 são: 1. Inclusão de quatro acompanhamentos especiais aprovados em </w:t>
      </w:r>
      <w:proofErr w:type="gramStart"/>
      <w:r>
        <w:t>2025</w:t>
      </w:r>
      <w:proofErr w:type="gramEnd"/>
      <w:r>
        <w:t xml:space="preserve"> mas não realizados devido à quebra de equipe: Contrato de manutenção predial, Contrato de almoxarifado, 2 Contratos de áreas verdes; 2. Retirada de alguns acompanhamentos já realizados duas vezes recentemente (Ouvidoria e Portal da Transparência), para permitir tempo de maturação das recomendações. 3. Junção de acompanhamentos: adiantamentos será somado com licitações, formando um acompanhamento de aquisições, permitindo cruzamento de informações. 4. Inclusão de dois novos acompanhamentos: - Obras paralisadas (tema recorrente nos apontamentos do Tribunal de Contas), - Plano de aquisições de TIC (valores significativos que merecem acompanhamento). A distribuição ao longo do ano é feita em diálogo com os órgãos centrais, considerando a disponibilidade de dados. Cada acompanhamento tem três meses de trabalho: formulação e validação, aplicação e elaboração do relatório. Não havendo manifestações, o Presidente submeteu o item à votação. O plano foi aprovado por unanimidade. ITEM 3) CALENDÁRIO ANUAL DE REUNIÕES 2026</w:t>
      </w:r>
      <w:r w:rsidR="00523A6A">
        <w:t xml:space="preserve">: </w:t>
      </w:r>
      <w:r w:rsidR="00523A6A" w:rsidRPr="00523A6A">
        <w:rPr>
          <w:b/>
          <w:bCs/>
        </w:rPr>
        <w:t>o</w:t>
      </w:r>
      <w:r w:rsidRPr="00523A6A">
        <w:rPr>
          <w:b/>
          <w:bCs/>
        </w:rPr>
        <w:t xml:space="preserve"> Sr</w:t>
      </w:r>
      <w:r w:rsidR="00523A6A">
        <w:rPr>
          <w:b/>
          <w:bCs/>
        </w:rPr>
        <w:t>.</w:t>
      </w:r>
      <w:r w:rsidRPr="00523A6A">
        <w:rPr>
          <w:b/>
          <w:bCs/>
        </w:rPr>
        <w:t xml:space="preserve"> Flávio</w:t>
      </w:r>
      <w:r>
        <w:t xml:space="preserve"> apresentou o calendário, mantendo o padrão de reuniões na terceira quinta-feira de cada mês, com exceção de agosto e novembro, que são antecipadas para a primeira semana devido à entrada nas pautas do CONSU. A reunião de janeiro será virtual, apenas com informes por e-mail, para cumprir a exigência de seis reuniões anuais prevista na Deliberação CONSU. Houve discussão sobre a possibilidade de alterar a Deliberação para prever reuniões apenas entre fevereiro e novembro, evitando a necessidade da reunião formal de janeiro</w:t>
      </w:r>
      <w:r w:rsidR="00523A6A">
        <w:t>, mês tradicionalmente de férias gerais no Campus. O tema deverá ser tratado oportunamente</w:t>
      </w:r>
      <w:r>
        <w:t xml:space="preserve">. </w:t>
      </w:r>
      <w:r w:rsidRPr="00523A6A">
        <w:rPr>
          <w:b/>
          <w:bCs/>
        </w:rPr>
        <w:t>O Presidente</w:t>
      </w:r>
      <w:r>
        <w:t xml:space="preserve"> submeteu o item à votação. O calendário foi aprovado com uma abstenção. EXPEDIENTE. ITEM 1) ACOMPANHAMENTO DAS AÇÕES – PLATAFORMA DE MONITORAMENTO DE APONTAMENTOS</w:t>
      </w:r>
      <w:r w:rsidR="00523A6A">
        <w:t xml:space="preserve">: </w:t>
      </w:r>
      <w:r w:rsidR="00523A6A" w:rsidRPr="00523A6A">
        <w:rPr>
          <w:b/>
          <w:bCs/>
        </w:rPr>
        <w:t>o</w:t>
      </w:r>
      <w:r w:rsidRPr="00523A6A">
        <w:rPr>
          <w:b/>
          <w:bCs/>
        </w:rPr>
        <w:t xml:space="preserve"> Sr</w:t>
      </w:r>
      <w:r w:rsidR="00523A6A">
        <w:rPr>
          <w:b/>
          <w:bCs/>
        </w:rPr>
        <w:t>.</w:t>
      </w:r>
      <w:r w:rsidRPr="00523A6A">
        <w:rPr>
          <w:b/>
          <w:bCs/>
        </w:rPr>
        <w:t xml:space="preserve"> Fl</w:t>
      </w:r>
      <w:r w:rsidR="00523A6A">
        <w:rPr>
          <w:b/>
          <w:bCs/>
        </w:rPr>
        <w:t>á</w:t>
      </w:r>
      <w:r w:rsidRPr="00523A6A">
        <w:rPr>
          <w:b/>
          <w:bCs/>
        </w:rPr>
        <w:t>vio</w:t>
      </w:r>
      <w:r>
        <w:t xml:space="preserve"> reforçou a importância de todos os membros acessarem regularmente a Plataforma de Monitoramento de Apontamentos (PMA) para acompanhar e atualizar as informações sobre os apontamentos relacionados aos seus órgãos. Esclareceu que: A plataforma continua em processo de atualização; </w:t>
      </w:r>
      <w:proofErr w:type="gramStart"/>
      <w:r>
        <w:t>Cada</w:t>
      </w:r>
      <w:proofErr w:type="gramEnd"/>
      <w:r>
        <w:t xml:space="preserve"> órgão vê apenas os apontamentos relacionados a ele; A alimentação dos campos "ação proposta" é fundamental para facilitar as respostas ao Tribunal de Contas; A entrada de novos apontamentos é centralizada na Controladoria, mas as atualizações são feitas por cada órgão citado. Foi discutida a necessidade de implementar notificação automática quando um órgão é incluído em um novo apontamento, funcionalidade que já foi encaminhada ao EDAT para desenvolvimento. ITEM 2) RELATÓRIO DE FISCALIZAÇÃO DO TRIBUNAL DE CONTAS</w:t>
      </w:r>
      <w:r w:rsidR="00523A6A">
        <w:t xml:space="preserve">: </w:t>
      </w:r>
      <w:r w:rsidR="00523A6A" w:rsidRPr="00523A6A">
        <w:rPr>
          <w:b/>
          <w:bCs/>
        </w:rPr>
        <w:t>o</w:t>
      </w:r>
      <w:r w:rsidRPr="00523A6A">
        <w:rPr>
          <w:b/>
          <w:bCs/>
        </w:rPr>
        <w:t xml:space="preserve"> Sr</w:t>
      </w:r>
      <w:r w:rsidR="00523A6A">
        <w:rPr>
          <w:b/>
          <w:bCs/>
        </w:rPr>
        <w:t>.</w:t>
      </w:r>
      <w:r w:rsidRPr="00523A6A">
        <w:rPr>
          <w:b/>
          <w:bCs/>
        </w:rPr>
        <w:t xml:space="preserve"> Flavio</w:t>
      </w:r>
      <w:r>
        <w:t xml:space="preserve"> apresentou</w:t>
      </w:r>
      <w:r w:rsidR="00523A6A">
        <w:t xml:space="preserve"> em tela</w:t>
      </w:r>
      <w:r>
        <w:t xml:space="preserve"> </w:t>
      </w:r>
      <w:r w:rsidR="00523A6A">
        <w:t xml:space="preserve">o </w:t>
      </w:r>
      <w:r>
        <w:t xml:space="preserve">relatório recebido recentemente do Tribunal de Contas (meados de outubro), via Procuradoria Geral. O principal apontamento sobre o controle interno refere-se à defasagem temporal dos relatórios do PAI, que acompanham o ano anterior. O Tribunal recomenda que os acompanhamentos sejam mais atualizados, analisando dados do exercício em curso. Foi esclarecido que: O modelo atual foi desenhado com base nos processos de prestação de contas do próprio Tribunal; A Controladoria já discutiu internamente e concorda com a recomendação; A solução será criar dois tipos de acompanhamento: um histórico (mantendo o atual) e outro em tempo real, dando visibilidade aos controles preventivos da primeira linha. </w:t>
      </w:r>
      <w:r w:rsidRPr="00523A6A">
        <w:rPr>
          <w:b/>
          <w:bCs/>
        </w:rPr>
        <w:t>A Doutora Lívia</w:t>
      </w:r>
      <w:r>
        <w:t xml:space="preserve"> comentou sobre melhorias percebidas na relação com o Tribunal, </w:t>
      </w:r>
      <w:r>
        <w:lastRenderedPageBreak/>
        <w:t>especialmente quanto aos apontamentos sobre a FUNCAMP, onde houve mudança de abordagem. Mencionou também que a renovação de conselheiros no Tribunal pode trazer mudanças. Foi mencionado o programa "Conselheiro do Futuro" do Tribunal de Contas, que foi estendido às três universidades estaduais, com participação de alunos da FCA e do Instituto de Economia da Unicamp. ITEM 3) INFORME SOBRE CONTRATAÇÃO DE PESSOAS JURÍDICAS NA ÁREA DA SAÚDE</w:t>
      </w:r>
      <w:r w:rsidR="00523A6A">
        <w:t xml:space="preserve">: </w:t>
      </w:r>
      <w:r w:rsidR="00523A6A" w:rsidRPr="00523A6A">
        <w:rPr>
          <w:b/>
          <w:bCs/>
        </w:rPr>
        <w:t>o</w:t>
      </w:r>
      <w:r w:rsidRPr="00523A6A">
        <w:rPr>
          <w:b/>
          <w:bCs/>
        </w:rPr>
        <w:t xml:space="preserve"> Professor Carlos</w:t>
      </w:r>
      <w:r>
        <w:t>, novo Controlador</w:t>
      </w:r>
      <w:r w:rsidR="00523A6A">
        <w:t xml:space="preserve"> Geral</w:t>
      </w:r>
      <w:r>
        <w:t xml:space="preserve">, informou sobre os desdobramentos do tema discutido na reunião anterior (25/09/2025). Contexto: Na reunião anterior, foram identificados problemas relacionados a: 1. Suspeição sobre contratos de pessoa jurídica na radiologia; 2. Possível beneficiamento na escolha de pessoas, com envolvimento de servidor da Unicamp; 3. Caso de laudo emitido em agosto de 2025 para paciente falecido em 2021; 4. Denúncia de servidor que não comparece ao trabalho e recebe gratificação de coordenador; 5. Falta de respostas consistentes do HC às demandas da Controladoria, Ouvidoria e Procuradoria Geral. Encaminhamentos da reunião anterior: 1. Solicitação de instauração de sindicância à DEAS; 2. Convocação da Superintendente do HC para reunião com o SCI. Desdobramentos: A reunião com a Superintendente foi realizada, onde ela apresentou a situação geral e a complexidade das demandas. Posteriormente, o HC enviou resposta que também foi encaminhada ao Ministério Público, que havia feito questionamentos similares. O Ouvidor Adilton detalhou a tramitação das denúncias: - Recebeu denúncia via protocolo 3121 sobre contratação de PJ na radiologia; - Encaminhou ao controle interno da DGA, que encaminhou ao CAISM e HC; - O CAISM respondeu adequadamente; o HC não respondeu inicialmente; - Após cobrança via DEAS, recebeu resposta insuficiente; - Há 24 manifestações sem resposta do HC desde 09/06/2025; - O denunciante "fatiou" a denúncia, enviando partes diferentes para Ouvidoria, Controladoria e Ministério Público. A Doutora Lívia (representando a PG) informou que: - O Ministério Público enviou ofício em 17/07 com os mesmos prints; - A primeira resposta do HC gerou várias outras perguntas do MP; - A PG também enfrenta enorme dificuldade em receber informações da área de saúde; O Professor Carlos informou que, após a reunião de 25/09, houve contato com a DEAS para instauração de sindicância. Porém, em 16/10, o HC enviou ofício solicitando reconsideração da abertura de sindicância, alegando que havia respondido via outro ofício (28/08) e que houve falha de comunicação. O ofício de reconsideração foi encaminhado à PG para análise, mas ainda não houve tempo hábil para parecer. Discussão: O Ouvidor esclareceu que: - O HC não responde aos pedidos de informação reiteradamente. Ela não respondeu ao pedido de informações feito no prazo estabelecido e quando a resposta veio via ofício da tarde de 28/08, mas não contemplava adequadamente as questões; - Há confusão sobre o que significa "com cópia para ciência" versus obrigação de responder; - O denunciante claramente "fatiou" a denúncia para mostrar ineficiência dos órgãos da Unicamp. </w:t>
      </w:r>
      <w:r w:rsidRPr="00523A6A">
        <w:rPr>
          <w:b/>
          <w:bCs/>
        </w:rPr>
        <w:t>O Senhor Adilton</w:t>
      </w:r>
      <w:r>
        <w:t xml:space="preserve"> destacou que o ofício de reconsideração da DEAS "distorce a realidade". </w:t>
      </w:r>
      <w:r w:rsidRPr="00523A6A">
        <w:rPr>
          <w:b/>
          <w:bCs/>
        </w:rPr>
        <w:t>A Doutora Lívia</w:t>
      </w:r>
      <w:r>
        <w:t xml:space="preserve"> explicou que o MP fez três denúncias relacionadas: 1. Contratação de PJ 2. Emissão de laudos de pacientes falecidos 3. Médicos fantasmas no setor de radiologia A PG solicitou dilação de prazo, recebeu resposta do HC, mas o MP fez novas perguntas. A PG também solicitou manifestações da DGA e DGRH, que responderam no prazo. Aguarda-se nova manifestação do MP. Encaminhamentos decididos: 1. Aguardar parecer da PG sobre o pedido de reconsideração da abertura de sindicância; 2. Aguardar manifestação do Ministério Público sobre as respostas enviadas; 3. Retornar o tema na próxima reunião (março de 2026) com as análises da PG e eventual posicionamento do MP; 4. Caso a PG entenda pela necessidade de abertura de sindicância, a DEAS será comunicada para instauração; 5. Caso a PG entenda pela não abertura, o tema retornará ao Sistema para deliberação. </w:t>
      </w:r>
      <w:r w:rsidRPr="00523A6A">
        <w:rPr>
          <w:b/>
          <w:bCs/>
        </w:rPr>
        <w:t>O Senhor Thiago</w:t>
      </w:r>
      <w:r>
        <w:t xml:space="preserve"> alertou sobre o risco de o MP entender que a Unicamp está postergando processo que deveria ter sido aberto. </w:t>
      </w:r>
      <w:r w:rsidRPr="00523A6A">
        <w:rPr>
          <w:b/>
          <w:bCs/>
        </w:rPr>
        <w:lastRenderedPageBreak/>
        <w:t>A Doutora Lívia</w:t>
      </w:r>
      <w:r>
        <w:t xml:space="preserve"> esclareceu que o MP não conhece a discussão interna do SCI e que, se questionado, a Unicamp explicará que estava avaliando a documentação, assim como o próprio MP faz antes de abrir inquérito civil. Não houve votação, pois o item foi apresentado como informe sobre andamento de decisão anterior. ITEM 4) MANIFESTAÇÃO DO OUVIDOR SOBRE LEI DE PROTEÇÃO AO DENUNCIANTE</w:t>
      </w:r>
      <w:r w:rsidR="00523A6A">
        <w:t xml:space="preserve">: </w:t>
      </w:r>
      <w:r w:rsidR="00523A6A" w:rsidRPr="00523A6A">
        <w:rPr>
          <w:b/>
          <w:bCs/>
        </w:rPr>
        <w:t>o</w:t>
      </w:r>
      <w:r w:rsidRPr="00523A6A">
        <w:rPr>
          <w:b/>
          <w:bCs/>
        </w:rPr>
        <w:t xml:space="preserve"> Ouvidor Adilton</w:t>
      </w:r>
      <w:r>
        <w:t xml:space="preserve"> informou sobre a Lei Federal 13.608/2018 e o Decreto Estadual 68.157/2025, que instituem o Programa de Proteção a Denunciantes. Principais pontos: 1. Proteção do nome do denunciante: a Ouvidoria já trabalha com denúncias anônimas e sigilosas, protegendo a identidade do manifestante. 2. </w:t>
      </w:r>
      <w:proofErr w:type="spellStart"/>
      <w:r>
        <w:t>Pseudonimização</w:t>
      </w:r>
      <w:proofErr w:type="spellEnd"/>
      <w:r>
        <w:t xml:space="preserve">: a lei determina que a Ouvidoria deve omitir dados que levem à identificação do denunciante no relato da manifestação. Atualmente isso é feito manualmente, mas já foi solicitado ao EDAT desenvolvimento de funcionalidade no sistema. 3. Denúncia de retaliação: o Decreto 68.157 obriga que ouvidorias públicas encaminhem denúncias de retaliação para a Controladoria Geral do Estado (CGE). Questões a serem discutidas: - A Unicamp deve seguir o decreto do Governador? - Como tratar denúncias de retaliação internamente? - Necessidade de elaborar Resolução GR ou Instrução Normativa da Ouvidoria adaptando a legislação à realidade da Unicamp, ao invés de seguir literalmente o decreto estadual. O Ouvidor também destacou problemas estruturais: - Falta de órgão apuratório na Unicamp para diversos tipos de denúncia; - Dificuldade em encaminhar denúncias de improbidade administrativa; - Necessidade de definir fluxos claros de apuração. Encaminhamentos propostos: 1. Elaborar normativo interno (Resolução GR ou Instrução Normativa) baseado na Lei 13.608, adaptado à realidade da Unicamp; 2. Discutir com a PG a melhor forma de implementação; 3. Aguardar desenvolvimento pelo EDAT de funcionalidade de </w:t>
      </w:r>
      <w:proofErr w:type="spellStart"/>
      <w:r>
        <w:t>pseudonimização</w:t>
      </w:r>
      <w:proofErr w:type="spellEnd"/>
      <w:r>
        <w:t xml:space="preserve"> no sistema; 4. Definir fluxo para tratamento de denúncias de retaliação. O Professor Fernando mencionou que o Reitor está ciente da necessidade de organizar o sistema de ouvidorias institucionalmente, com treinamentos, procedimentos uniformes e sistema adequado de apuração. Não havendo outras manifestações, </w:t>
      </w:r>
      <w:r w:rsidRPr="00523A6A">
        <w:rPr>
          <w:b/>
          <w:bCs/>
        </w:rPr>
        <w:t>o Presidente</w:t>
      </w:r>
      <w:r>
        <w:t xml:space="preserve"> agradeceu a presença de todas e todos e encerrou a sessão, informando que a próxima reunião será virtual em janeiro de 2026 (apenas informes) e a próxima reunião presencial será na primeira quinta-feira de março de 2026. --- Para constar, eu, Flavio Batista Ferreira, Assistente Técnico, lavrei a presente ata para ser submetida à aprovação do Sistema de Controle Interno. Campinas, 6 de novembro de 2025.</w:t>
      </w:r>
    </w:p>
    <w:sectPr w:rsidR="00716CA2">
      <w:headerReference w:type="default" r:id="rId7"/>
      <w:pgSz w:w="11906" w:h="16838"/>
      <w:pgMar w:top="1417" w:right="1701" w:bottom="1417" w:left="1701" w:header="51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EBBAB" w14:textId="77777777" w:rsidR="00F442BB" w:rsidRDefault="00F442BB">
      <w:pPr>
        <w:spacing w:after="0" w:line="240" w:lineRule="auto"/>
      </w:pPr>
      <w:r>
        <w:separator/>
      </w:r>
    </w:p>
  </w:endnote>
  <w:endnote w:type="continuationSeparator" w:id="0">
    <w:p w14:paraId="36309316" w14:textId="77777777" w:rsidR="00F442BB" w:rsidRDefault="00F44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9D5A1FB-C31B-4225-B468-EF7F8F8C7613}"/>
    <w:embedBold r:id="rId2" w:fontKey="{4E9D0C1A-8372-48AA-AA6D-9403FFC028F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CC8E261-C1B9-449D-9FEF-65D2BE72057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72348C7-1195-46A4-9F21-ECF0982AA3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BD364" w14:textId="77777777" w:rsidR="00F442BB" w:rsidRDefault="00F442BB">
      <w:pPr>
        <w:spacing w:after="0" w:line="240" w:lineRule="auto"/>
      </w:pPr>
      <w:r>
        <w:separator/>
      </w:r>
    </w:p>
  </w:footnote>
  <w:footnote w:type="continuationSeparator" w:id="0">
    <w:p w14:paraId="19F386F0" w14:textId="77777777" w:rsidR="00F442BB" w:rsidRDefault="00F44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905B" w14:textId="77777777" w:rsidR="00716CA2" w:rsidRDefault="00000000">
    <w:pPr>
      <w:shd w:val="clear" w:color="auto" w:fill="FFFFFF"/>
      <w:spacing w:after="0" w:line="240" w:lineRule="auto"/>
      <w:jc w:val="center"/>
      <w:rPr>
        <w:rFonts w:ascii="Arial" w:eastAsia="Arial" w:hAnsi="Arial" w:cs="Arial"/>
        <w:b/>
        <w:bCs/>
        <w:sz w:val="28"/>
        <w:szCs w:val="28"/>
      </w:rPr>
    </w:pPr>
    <w:r>
      <w:rPr>
        <w:noProof/>
      </w:rPr>
      <w:drawing>
        <wp:anchor distT="0" distB="0" distL="114300" distR="114300" simplePos="0" relativeHeight="251658240" behindDoc="0" locked="0" layoutInCell="1" hidden="0" allowOverlap="1" wp14:anchorId="35CDA21B" wp14:editId="2CD0B5FC">
          <wp:simplePos x="0" y="0"/>
          <wp:positionH relativeFrom="column">
            <wp:posOffset>-356217</wp:posOffset>
          </wp:positionH>
          <wp:positionV relativeFrom="paragraph">
            <wp:posOffset>-183499</wp:posOffset>
          </wp:positionV>
          <wp:extent cx="780000" cy="864000"/>
          <wp:effectExtent l="0" t="0" r="0" b="0"/>
          <wp:wrapSquare wrapText="bothSides" distT="0" distB="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6458" r="24368" b="-730"/>
                  <a:stretch>
                    <a:fillRect/>
                  </a:stretch>
                </pic:blipFill>
                <pic:spPr>
                  <a:xfrm>
                    <a:off x="0" y="0"/>
                    <a:ext cx="780000" cy="864000"/>
                  </a:xfrm>
                  <a:prstGeom prst="rect">
                    <a:avLst/>
                  </a:prstGeom>
                  <a:ln/>
                </pic:spPr>
              </pic:pic>
            </a:graphicData>
          </a:graphic>
        </wp:anchor>
      </w:drawing>
    </w:r>
  </w:p>
  <w:p w14:paraId="3EF6D25E" w14:textId="77777777" w:rsidR="00716CA2" w:rsidRDefault="00000000">
    <w:pPr>
      <w:shd w:val="clear" w:color="auto" w:fill="FFFFFF"/>
      <w:spacing w:after="0" w:line="240" w:lineRule="auto"/>
      <w:jc w:val="center"/>
      <w:rPr>
        <w:rFonts w:ascii="Arial" w:eastAsia="Arial" w:hAnsi="Arial" w:cs="Arial"/>
        <w:b/>
        <w:bCs/>
        <w:sz w:val="24"/>
        <w:szCs w:val="24"/>
      </w:rPr>
    </w:pPr>
    <w:r>
      <w:rPr>
        <w:rFonts w:ascii="Arial" w:eastAsia="Arial" w:hAnsi="Arial" w:cs="Arial"/>
        <w:b/>
        <w:bCs/>
        <w:sz w:val="24"/>
        <w:szCs w:val="24"/>
      </w:rPr>
      <w:t>UNIVERSIDADE ESTADUAL DE CAMPINAS</w:t>
    </w:r>
  </w:p>
  <w:p w14:paraId="1DF13BCA" w14:textId="77777777" w:rsidR="00716CA2" w:rsidRDefault="00000000">
    <w:pPr>
      <w:shd w:val="clear" w:color="auto" w:fill="FFFFFF"/>
      <w:spacing w:after="0" w:line="240" w:lineRule="auto"/>
      <w:jc w:val="center"/>
      <w:rPr>
        <w:rFonts w:ascii="Arial" w:eastAsia="Arial" w:hAnsi="Arial" w:cs="Arial"/>
        <w:b/>
        <w:bCs/>
        <w:sz w:val="24"/>
        <w:szCs w:val="24"/>
      </w:rPr>
    </w:pPr>
    <w:r>
      <w:rPr>
        <w:rFonts w:ascii="Arial" w:eastAsia="Arial" w:hAnsi="Arial" w:cs="Arial"/>
        <w:b/>
        <w:bCs/>
        <w:sz w:val="24"/>
        <w:szCs w:val="24"/>
      </w:rPr>
      <w:t>CONTROLADORIA GERAL DA UNICAMP</w:t>
    </w:r>
  </w:p>
  <w:p w14:paraId="4A8F6D7A" w14:textId="77777777" w:rsidR="00716CA2" w:rsidRDefault="00716CA2">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CA2"/>
    <w:rsid w:val="00523A6A"/>
    <w:rsid w:val="00716CA2"/>
    <w:rsid w:val="007C759F"/>
    <w:rsid w:val="00F442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73850"/>
  <w15:docId w15:val="{5227124A-A212-4127-AF09-8FE517B0A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A334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3346E"/>
  </w:style>
  <w:style w:type="paragraph" w:styleId="Rodap">
    <w:name w:val="footer"/>
    <w:basedOn w:val="Normal"/>
    <w:link w:val="RodapChar"/>
    <w:uiPriority w:val="99"/>
    <w:unhideWhenUsed/>
    <w:rsid w:val="00A3346E"/>
    <w:pPr>
      <w:tabs>
        <w:tab w:val="center" w:pos="4252"/>
        <w:tab w:val="right" w:pos="8504"/>
      </w:tabs>
      <w:spacing w:after="0" w:line="240" w:lineRule="auto"/>
    </w:pPr>
  </w:style>
  <w:style w:type="character" w:customStyle="1" w:styleId="RodapChar">
    <w:name w:val="Rodapé Char"/>
    <w:basedOn w:val="Fontepargpadro"/>
    <w:link w:val="Rodap"/>
    <w:uiPriority w:val="99"/>
    <w:rsid w:val="00A3346E"/>
  </w:style>
  <w:style w:type="character" w:styleId="Nmerodelinha">
    <w:name w:val="line number"/>
    <w:basedOn w:val="Fontepargpadro"/>
    <w:uiPriority w:val="99"/>
    <w:semiHidden/>
    <w:unhideWhenUsed/>
    <w:rsid w:val="001E14DD"/>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TEvvxRdtsYXnypxxnfXsa1KAw==">CgMxLjA4AHIhMW1pY3pMSy1JS1dVb2lYWGF3RXpoWTNNYjFHazFFc3Zi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2364</Words>
  <Characters>12766</Characters>
  <Application>Microsoft Office Word</Application>
  <DocSecurity>0</DocSecurity>
  <Lines>106</Lines>
  <Paragraphs>30</Paragraphs>
  <ScaleCrop>false</ScaleCrop>
  <Company/>
  <LinksUpToDate>false</LinksUpToDate>
  <CharactersWithSpaces>15100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Flávio Ferreira</dc:creator>
  <cp:lastModifiedBy>Gilmar Dias da Silva</cp:lastModifiedBy>
  <cp:revision>2</cp:revision>
  <dcterms:created xsi:type="dcterms:W3CDTF">2022-03-03T17:11:00Z</dcterms:created>
  <dcterms:modified xsi:type="dcterms:W3CDTF">2026-01-20T19:21:00Z</dcterms:modified>
</cp:coreProperties>
</file>